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8B695D">
        <w:rPr>
          <w:rFonts w:ascii="Palatino Linotype" w:hAnsi="Palatino Linotype" w:cs="Arial"/>
          <w:b/>
          <w:bCs/>
          <w:sz w:val="23"/>
          <w:szCs w:val="23"/>
        </w:rPr>
        <w:t>3875</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7958BB" w:rsidRPr="007958BB" w:rsidRDefault="00E6179D">
          <w:pPr>
            <w:pStyle w:val="TDC1"/>
            <w:rPr>
              <w:rFonts w:eastAsiaTheme="minorEastAsia"/>
              <w:b w:val="0"/>
              <w:sz w:val="24"/>
              <w:szCs w:val="24"/>
              <w:lang w:eastAsia="es-MX"/>
            </w:rPr>
          </w:pPr>
          <w:r w:rsidRPr="007958BB">
            <w:rPr>
              <w:sz w:val="24"/>
              <w:szCs w:val="24"/>
            </w:rPr>
            <w:fldChar w:fldCharType="begin"/>
          </w:r>
          <w:r w:rsidRPr="007958BB">
            <w:rPr>
              <w:sz w:val="24"/>
              <w:szCs w:val="24"/>
            </w:rPr>
            <w:instrText xml:space="preserve"> TOC \o "1-3" \h \z \u </w:instrText>
          </w:r>
          <w:r w:rsidRPr="007958BB">
            <w:rPr>
              <w:sz w:val="24"/>
              <w:szCs w:val="24"/>
            </w:rPr>
            <w:fldChar w:fldCharType="separate"/>
          </w:r>
          <w:hyperlink w:anchor="_Toc532224023" w:history="1">
            <w:r w:rsidR="007958BB" w:rsidRPr="007958BB">
              <w:rPr>
                <w:rStyle w:val="Hipervnculo"/>
                <w:rFonts w:eastAsia="Times New Roman"/>
                <w:sz w:val="24"/>
                <w:szCs w:val="24"/>
              </w:rPr>
              <w:t>I.</w:t>
            </w:r>
            <w:r w:rsidR="007958BB" w:rsidRPr="007958BB">
              <w:rPr>
                <w:rFonts w:eastAsiaTheme="minorEastAsia"/>
                <w:b w:val="0"/>
                <w:sz w:val="24"/>
                <w:szCs w:val="24"/>
                <w:lang w:eastAsia="es-MX"/>
              </w:rPr>
              <w:tab/>
            </w:r>
            <w:r w:rsidR="007958BB" w:rsidRPr="007958BB">
              <w:rPr>
                <w:rStyle w:val="Hipervnculo"/>
                <w:rFonts w:eastAsia="Times New Roman"/>
                <w:sz w:val="24"/>
                <w:szCs w:val="24"/>
              </w:rPr>
              <w:t>Consideraciones Generales</w:t>
            </w:r>
            <w:r w:rsidR="007958BB" w:rsidRPr="007958BB">
              <w:rPr>
                <w:webHidden/>
                <w:sz w:val="24"/>
                <w:szCs w:val="24"/>
              </w:rPr>
              <w:tab/>
            </w:r>
            <w:r w:rsidR="007958BB" w:rsidRPr="007958BB">
              <w:rPr>
                <w:webHidden/>
                <w:sz w:val="24"/>
                <w:szCs w:val="24"/>
              </w:rPr>
              <w:fldChar w:fldCharType="begin"/>
            </w:r>
            <w:r w:rsidR="007958BB" w:rsidRPr="007958BB">
              <w:rPr>
                <w:webHidden/>
                <w:sz w:val="24"/>
                <w:szCs w:val="24"/>
              </w:rPr>
              <w:instrText xml:space="preserve"> PAGEREF _Toc532224023 \h </w:instrText>
            </w:r>
            <w:r w:rsidR="007958BB" w:rsidRPr="007958BB">
              <w:rPr>
                <w:webHidden/>
                <w:sz w:val="24"/>
                <w:szCs w:val="24"/>
              </w:rPr>
            </w:r>
            <w:r w:rsidR="007958BB" w:rsidRPr="007958BB">
              <w:rPr>
                <w:webHidden/>
                <w:sz w:val="24"/>
                <w:szCs w:val="24"/>
              </w:rPr>
              <w:fldChar w:fldCharType="separate"/>
            </w:r>
            <w:r w:rsidR="007958BB" w:rsidRPr="007958BB">
              <w:rPr>
                <w:webHidden/>
                <w:sz w:val="24"/>
                <w:szCs w:val="24"/>
              </w:rPr>
              <w:t>1</w:t>
            </w:r>
            <w:r w:rsidR="007958BB" w:rsidRPr="007958BB">
              <w:rPr>
                <w:webHidden/>
                <w:sz w:val="24"/>
                <w:szCs w:val="24"/>
              </w:rPr>
              <w:fldChar w:fldCharType="end"/>
            </w:r>
          </w:hyperlink>
        </w:p>
        <w:p w:rsidR="007958BB" w:rsidRPr="007958BB" w:rsidRDefault="00E668C1">
          <w:pPr>
            <w:pStyle w:val="TDC1"/>
            <w:rPr>
              <w:rFonts w:eastAsiaTheme="minorEastAsia"/>
              <w:b w:val="0"/>
              <w:sz w:val="24"/>
              <w:szCs w:val="24"/>
              <w:lang w:eastAsia="es-MX"/>
            </w:rPr>
          </w:pPr>
          <w:hyperlink w:anchor="_Toc532224024" w:history="1">
            <w:r w:rsidR="007958BB" w:rsidRPr="007958BB">
              <w:rPr>
                <w:rStyle w:val="Hipervnculo"/>
                <w:rFonts w:eastAsia="Calibri"/>
                <w:sz w:val="24"/>
                <w:szCs w:val="24"/>
                <w:lang w:val="es-ES"/>
              </w:rPr>
              <w:t>II.</w:t>
            </w:r>
            <w:r w:rsidR="007958BB" w:rsidRPr="007958BB">
              <w:rPr>
                <w:rFonts w:eastAsiaTheme="minorEastAsia"/>
                <w:b w:val="0"/>
                <w:sz w:val="24"/>
                <w:szCs w:val="24"/>
                <w:lang w:eastAsia="es-MX"/>
              </w:rPr>
              <w:tab/>
            </w:r>
            <w:r w:rsidR="007958BB" w:rsidRPr="007958BB">
              <w:rPr>
                <w:rStyle w:val="Hipervnculo"/>
                <w:rFonts w:eastAsia="Calibri"/>
                <w:sz w:val="24"/>
                <w:szCs w:val="24"/>
                <w:lang w:val="es-ES"/>
              </w:rPr>
              <w:t>De los requerimientos planteados en el recurso de revisión.</w:t>
            </w:r>
            <w:r w:rsidR="007958BB" w:rsidRPr="007958BB">
              <w:rPr>
                <w:webHidden/>
                <w:sz w:val="24"/>
                <w:szCs w:val="24"/>
              </w:rPr>
              <w:tab/>
            </w:r>
            <w:r w:rsidR="007958BB" w:rsidRPr="007958BB">
              <w:rPr>
                <w:webHidden/>
                <w:sz w:val="24"/>
                <w:szCs w:val="24"/>
              </w:rPr>
              <w:fldChar w:fldCharType="begin"/>
            </w:r>
            <w:r w:rsidR="007958BB" w:rsidRPr="007958BB">
              <w:rPr>
                <w:webHidden/>
                <w:sz w:val="24"/>
                <w:szCs w:val="24"/>
              </w:rPr>
              <w:instrText xml:space="preserve"> PAGEREF _Toc532224024 \h </w:instrText>
            </w:r>
            <w:r w:rsidR="007958BB" w:rsidRPr="007958BB">
              <w:rPr>
                <w:webHidden/>
                <w:sz w:val="24"/>
                <w:szCs w:val="24"/>
              </w:rPr>
            </w:r>
            <w:r w:rsidR="007958BB" w:rsidRPr="007958BB">
              <w:rPr>
                <w:webHidden/>
                <w:sz w:val="24"/>
                <w:szCs w:val="24"/>
              </w:rPr>
              <w:fldChar w:fldCharType="separate"/>
            </w:r>
            <w:r w:rsidR="007958BB" w:rsidRPr="007958BB">
              <w:rPr>
                <w:webHidden/>
                <w:sz w:val="24"/>
                <w:szCs w:val="24"/>
              </w:rPr>
              <w:t>2</w:t>
            </w:r>
            <w:r w:rsidR="007958BB" w:rsidRPr="007958BB">
              <w:rPr>
                <w:webHidden/>
                <w:sz w:val="24"/>
                <w:szCs w:val="24"/>
              </w:rPr>
              <w:fldChar w:fldCharType="end"/>
            </w:r>
          </w:hyperlink>
        </w:p>
        <w:p w:rsidR="007958BB" w:rsidRPr="007958BB" w:rsidRDefault="00E668C1">
          <w:pPr>
            <w:pStyle w:val="TDC2"/>
            <w:rPr>
              <w:rFonts w:ascii="Palatino Linotype" w:eastAsiaTheme="minorEastAsia" w:hAnsi="Palatino Linotype"/>
              <w:noProof/>
              <w:sz w:val="24"/>
              <w:szCs w:val="24"/>
              <w:lang w:eastAsia="es-MX"/>
            </w:rPr>
          </w:pPr>
          <w:hyperlink w:anchor="_Toc532224025" w:history="1">
            <w:r w:rsidR="007958BB" w:rsidRPr="007958BB">
              <w:rPr>
                <w:rStyle w:val="Hipervnculo"/>
                <w:rFonts w:ascii="Palatino Linotype" w:hAnsi="Palatino Linotype"/>
                <w:b/>
                <w:noProof/>
                <w:sz w:val="24"/>
                <w:szCs w:val="24"/>
              </w:rPr>
              <w:t>III. Del Derecho de Acceso a la información pública y el deber de motivar.</w:t>
            </w:r>
            <w:r w:rsidR="007958BB" w:rsidRPr="007958BB">
              <w:rPr>
                <w:rFonts w:ascii="Palatino Linotype" w:hAnsi="Palatino Linotype"/>
                <w:noProof/>
                <w:webHidden/>
                <w:sz w:val="24"/>
                <w:szCs w:val="24"/>
              </w:rPr>
              <w:tab/>
            </w:r>
            <w:r w:rsidR="007958BB" w:rsidRPr="007958BB">
              <w:rPr>
                <w:rFonts w:ascii="Palatino Linotype" w:hAnsi="Palatino Linotype"/>
                <w:noProof/>
                <w:webHidden/>
                <w:sz w:val="24"/>
                <w:szCs w:val="24"/>
              </w:rPr>
              <w:fldChar w:fldCharType="begin"/>
            </w:r>
            <w:r w:rsidR="007958BB" w:rsidRPr="007958BB">
              <w:rPr>
                <w:rFonts w:ascii="Palatino Linotype" w:hAnsi="Palatino Linotype"/>
                <w:noProof/>
                <w:webHidden/>
                <w:sz w:val="24"/>
                <w:szCs w:val="24"/>
              </w:rPr>
              <w:instrText xml:space="preserve"> PAGEREF _Toc532224025 \h </w:instrText>
            </w:r>
            <w:r w:rsidR="007958BB" w:rsidRPr="007958BB">
              <w:rPr>
                <w:rFonts w:ascii="Palatino Linotype" w:hAnsi="Palatino Linotype"/>
                <w:noProof/>
                <w:webHidden/>
                <w:sz w:val="24"/>
                <w:szCs w:val="24"/>
              </w:rPr>
            </w:r>
            <w:r w:rsidR="007958BB" w:rsidRPr="007958BB">
              <w:rPr>
                <w:rFonts w:ascii="Palatino Linotype" w:hAnsi="Palatino Linotype"/>
                <w:noProof/>
                <w:webHidden/>
                <w:sz w:val="24"/>
                <w:szCs w:val="24"/>
              </w:rPr>
              <w:fldChar w:fldCharType="separate"/>
            </w:r>
            <w:r w:rsidR="007958BB" w:rsidRPr="007958BB">
              <w:rPr>
                <w:rFonts w:ascii="Palatino Linotype" w:hAnsi="Palatino Linotype"/>
                <w:noProof/>
                <w:webHidden/>
                <w:sz w:val="24"/>
                <w:szCs w:val="24"/>
              </w:rPr>
              <w:t>5</w:t>
            </w:r>
            <w:r w:rsidR="007958BB" w:rsidRPr="007958BB">
              <w:rPr>
                <w:rFonts w:ascii="Palatino Linotype" w:hAnsi="Palatino Linotype"/>
                <w:noProof/>
                <w:webHidden/>
                <w:sz w:val="24"/>
                <w:szCs w:val="24"/>
              </w:rPr>
              <w:fldChar w:fldCharType="end"/>
            </w:r>
          </w:hyperlink>
        </w:p>
        <w:p w:rsidR="007958BB" w:rsidRPr="007958BB" w:rsidRDefault="00E668C1">
          <w:pPr>
            <w:pStyle w:val="TDC1"/>
            <w:rPr>
              <w:rFonts w:eastAsiaTheme="minorEastAsia"/>
              <w:b w:val="0"/>
              <w:sz w:val="24"/>
              <w:szCs w:val="24"/>
              <w:lang w:eastAsia="es-MX"/>
            </w:rPr>
          </w:pPr>
          <w:hyperlink w:anchor="_Toc532224026" w:history="1">
            <w:r w:rsidR="007958BB" w:rsidRPr="007958BB">
              <w:rPr>
                <w:rStyle w:val="Hipervnculo"/>
                <w:rFonts w:eastAsia="Calibri"/>
                <w:sz w:val="24"/>
                <w:szCs w:val="24"/>
              </w:rPr>
              <w:t>IV. Del Pronunciamiento simple</w:t>
            </w:r>
            <w:r w:rsidR="007958BB" w:rsidRPr="007958BB">
              <w:rPr>
                <w:webHidden/>
                <w:sz w:val="24"/>
                <w:szCs w:val="24"/>
              </w:rPr>
              <w:tab/>
            </w:r>
            <w:r w:rsidR="007958BB" w:rsidRPr="007958BB">
              <w:rPr>
                <w:webHidden/>
                <w:sz w:val="24"/>
                <w:szCs w:val="24"/>
              </w:rPr>
              <w:fldChar w:fldCharType="begin"/>
            </w:r>
            <w:r w:rsidR="007958BB" w:rsidRPr="007958BB">
              <w:rPr>
                <w:webHidden/>
                <w:sz w:val="24"/>
                <w:szCs w:val="24"/>
              </w:rPr>
              <w:instrText xml:space="preserve"> PAGEREF _Toc532224026 \h </w:instrText>
            </w:r>
            <w:r w:rsidR="007958BB" w:rsidRPr="007958BB">
              <w:rPr>
                <w:webHidden/>
                <w:sz w:val="24"/>
                <w:szCs w:val="24"/>
              </w:rPr>
            </w:r>
            <w:r w:rsidR="007958BB" w:rsidRPr="007958BB">
              <w:rPr>
                <w:webHidden/>
                <w:sz w:val="24"/>
                <w:szCs w:val="24"/>
              </w:rPr>
              <w:fldChar w:fldCharType="separate"/>
            </w:r>
            <w:r w:rsidR="007958BB" w:rsidRPr="007958BB">
              <w:rPr>
                <w:webHidden/>
                <w:sz w:val="24"/>
                <w:szCs w:val="24"/>
              </w:rPr>
              <w:t>10</w:t>
            </w:r>
            <w:r w:rsidR="007958BB" w:rsidRPr="007958BB">
              <w:rPr>
                <w:webHidden/>
                <w:sz w:val="24"/>
                <w:szCs w:val="24"/>
              </w:rPr>
              <w:fldChar w:fldCharType="end"/>
            </w:r>
          </w:hyperlink>
        </w:p>
        <w:p w:rsidR="007958BB" w:rsidRPr="007958BB" w:rsidRDefault="00E668C1">
          <w:pPr>
            <w:pStyle w:val="TDC1"/>
            <w:rPr>
              <w:rFonts w:eastAsiaTheme="minorEastAsia"/>
              <w:b w:val="0"/>
              <w:sz w:val="24"/>
              <w:szCs w:val="24"/>
              <w:lang w:eastAsia="es-MX"/>
            </w:rPr>
          </w:pPr>
          <w:hyperlink w:anchor="_Toc532224027" w:history="1">
            <w:r w:rsidR="007958BB" w:rsidRPr="007958BB">
              <w:rPr>
                <w:rStyle w:val="Hipervnculo"/>
                <w:rFonts w:eastAsia="Calibri"/>
                <w:sz w:val="24"/>
                <w:szCs w:val="24"/>
              </w:rPr>
              <w:t>V. Conclusión.</w:t>
            </w:r>
            <w:r w:rsidR="007958BB" w:rsidRPr="007958BB">
              <w:rPr>
                <w:webHidden/>
                <w:sz w:val="24"/>
                <w:szCs w:val="24"/>
              </w:rPr>
              <w:tab/>
            </w:r>
            <w:r w:rsidR="007958BB" w:rsidRPr="007958BB">
              <w:rPr>
                <w:webHidden/>
                <w:sz w:val="24"/>
                <w:szCs w:val="24"/>
              </w:rPr>
              <w:fldChar w:fldCharType="begin"/>
            </w:r>
            <w:r w:rsidR="007958BB" w:rsidRPr="007958BB">
              <w:rPr>
                <w:webHidden/>
                <w:sz w:val="24"/>
                <w:szCs w:val="24"/>
              </w:rPr>
              <w:instrText xml:space="preserve"> PAGEREF _Toc532224027 \h </w:instrText>
            </w:r>
            <w:r w:rsidR="007958BB" w:rsidRPr="007958BB">
              <w:rPr>
                <w:webHidden/>
                <w:sz w:val="24"/>
                <w:szCs w:val="24"/>
              </w:rPr>
            </w:r>
            <w:r w:rsidR="007958BB" w:rsidRPr="007958BB">
              <w:rPr>
                <w:webHidden/>
                <w:sz w:val="24"/>
                <w:szCs w:val="24"/>
              </w:rPr>
              <w:fldChar w:fldCharType="separate"/>
            </w:r>
            <w:r w:rsidR="007958BB" w:rsidRPr="007958BB">
              <w:rPr>
                <w:webHidden/>
                <w:sz w:val="24"/>
                <w:szCs w:val="24"/>
              </w:rPr>
              <w:t>17</w:t>
            </w:r>
            <w:r w:rsidR="007958BB" w:rsidRPr="007958BB">
              <w:rPr>
                <w:webHidden/>
                <w:sz w:val="24"/>
                <w:szCs w:val="24"/>
              </w:rPr>
              <w:fldChar w:fldCharType="end"/>
            </w:r>
          </w:hyperlink>
        </w:p>
        <w:p w:rsidR="00E6179D" w:rsidRPr="008E7A8C" w:rsidRDefault="00E6179D" w:rsidP="00B73B30">
          <w:pPr>
            <w:spacing w:line="360" w:lineRule="auto"/>
            <w:rPr>
              <w:rFonts w:ascii="Palatino Linotype" w:hAnsi="Palatino Linotype"/>
              <w:sz w:val="24"/>
              <w:szCs w:val="24"/>
            </w:rPr>
          </w:pPr>
          <w:r w:rsidRPr="007958BB">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2224023"/>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0131FD">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B6D90">
        <w:rPr>
          <w:rFonts w:ascii="Palatino Linotype" w:eastAsia="Calibri" w:hAnsi="Palatino Linotype" w:cs="Arial"/>
          <w:sz w:val="24"/>
          <w:szCs w:val="24"/>
        </w:rPr>
        <w:t>Cuadragésima</w:t>
      </w:r>
      <w:r w:rsidR="000D2AD4">
        <w:rPr>
          <w:rFonts w:ascii="Palatino Linotype" w:eastAsia="Calibri" w:hAnsi="Palatino Linotype" w:cs="Arial"/>
          <w:sz w:val="24"/>
          <w:szCs w:val="24"/>
        </w:rPr>
        <w:t xml:space="preserve"> </w:t>
      </w:r>
      <w:r w:rsidR="003A4479">
        <w:rPr>
          <w:rFonts w:ascii="Palatino Linotype" w:eastAsia="Calibri" w:hAnsi="Palatino Linotype" w:cs="Arial"/>
          <w:sz w:val="24"/>
          <w:szCs w:val="24"/>
        </w:rPr>
        <w:t>Quinta</w:t>
      </w:r>
      <w:r w:rsidR="000D2AD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3A4479">
        <w:rPr>
          <w:rFonts w:ascii="Palatino Linotype" w:eastAsia="Calibri" w:hAnsi="Palatino Linotype" w:cs="Arial"/>
          <w:sz w:val="24"/>
          <w:szCs w:val="24"/>
        </w:rPr>
        <w:t>seis</w:t>
      </w:r>
      <w:r w:rsidRPr="00427B79">
        <w:rPr>
          <w:rFonts w:ascii="Palatino Linotype" w:eastAsia="Calibri" w:hAnsi="Palatino Linotype" w:cs="Arial"/>
          <w:sz w:val="24"/>
          <w:szCs w:val="24"/>
        </w:rPr>
        <w:t xml:space="preserve"> (</w:t>
      </w:r>
      <w:r w:rsidR="003A4479">
        <w:rPr>
          <w:rFonts w:ascii="Palatino Linotype" w:eastAsia="Calibri" w:hAnsi="Palatino Linotype" w:cs="Arial"/>
          <w:sz w:val="24"/>
          <w:szCs w:val="24"/>
        </w:rPr>
        <w:t>06</w:t>
      </w:r>
      <w:r w:rsidR="00422BF0">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de </w:t>
      </w:r>
      <w:r w:rsidR="003A4479">
        <w:rPr>
          <w:rFonts w:ascii="Palatino Linotype" w:eastAsia="Calibri" w:hAnsi="Palatino Linotype" w:cs="Arial"/>
          <w:sz w:val="24"/>
          <w:szCs w:val="24"/>
        </w:rPr>
        <w:t>diciembre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0F0970" w:rsidRPr="000F0970">
        <w:rPr>
          <w:rFonts w:ascii="Palatino Linotype" w:hAnsi="Palatino Linotype"/>
          <w:b/>
        </w:rPr>
        <w:t xml:space="preserve"> </w:t>
      </w:r>
      <w:r w:rsidR="00031184">
        <w:rPr>
          <w:rFonts w:ascii="Palatino Linotype" w:hAnsi="Palatino Linotype"/>
          <w:b/>
        </w:rPr>
        <w:t xml:space="preserve"> </w:t>
      </w:r>
      <w:r w:rsidR="00031184" w:rsidRPr="00031184">
        <w:rPr>
          <w:rFonts w:ascii="Palatino Linotype" w:hAnsi="Palatino Linotype"/>
        </w:rPr>
        <w:t xml:space="preserve">el </w:t>
      </w:r>
      <w:r w:rsidR="00031184" w:rsidRPr="00031184">
        <w:rPr>
          <w:rFonts w:ascii="Palatino Linotype" w:hAnsi="Palatino Linotype" w:cs="Arial"/>
          <w:b/>
          <w:sz w:val="24"/>
          <w:szCs w:val="24"/>
        </w:rPr>
        <w:t xml:space="preserve"> </w:t>
      </w:r>
      <w:r w:rsidR="008B695D" w:rsidRPr="00BD5F21">
        <w:rPr>
          <w:rFonts w:ascii="Palatino Linotype" w:hAnsi="Palatino Linotype" w:cs="Arial"/>
          <w:b/>
          <w:sz w:val="24"/>
          <w:szCs w:val="24"/>
        </w:rPr>
        <w:t xml:space="preserve">C. </w:t>
      </w:r>
      <w:r w:rsidR="00E668C1" w:rsidRPr="00E668C1">
        <w:rPr>
          <w:rFonts w:ascii="Palatino Linotype" w:hAnsi="Palatino Linotype" w:cs="Arial"/>
          <w:b/>
          <w:sz w:val="24"/>
          <w:szCs w:val="24"/>
          <w:highlight w:val="black"/>
        </w:rPr>
        <w:t>--------------------------------</w:t>
      </w:r>
      <w:r w:rsidR="008B695D">
        <w:rPr>
          <w:rFonts w:ascii="Palatino Linotype" w:eastAsia="Calibri" w:hAnsi="Palatino Linotype" w:cs="Arial"/>
          <w:sz w:val="24"/>
          <w:szCs w:val="24"/>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422BF0">
        <w:rPr>
          <w:rFonts w:ascii="Palatino Linotype" w:eastAsia="Calibri" w:hAnsi="Palatino Linotype" w:cs="Arial"/>
          <w:sz w:val="24"/>
          <w:szCs w:val="24"/>
        </w:rPr>
        <w:t>l</w:t>
      </w:r>
      <w:r w:rsidR="008B695D" w:rsidRPr="008B695D">
        <w:rPr>
          <w:rFonts w:ascii="Palatino Linotype" w:hAnsi="Palatino Linotype"/>
          <w:b/>
          <w:bCs/>
          <w:color w:val="000000"/>
          <w:sz w:val="24"/>
          <w:szCs w:val="24"/>
        </w:rPr>
        <w:t xml:space="preserve"> </w:t>
      </w:r>
      <w:r w:rsidR="008B695D" w:rsidRPr="00BD5F21">
        <w:rPr>
          <w:rFonts w:ascii="Palatino Linotype" w:hAnsi="Palatino Linotype"/>
          <w:b/>
          <w:bCs/>
          <w:color w:val="000000"/>
          <w:sz w:val="24"/>
          <w:szCs w:val="24"/>
        </w:rPr>
        <w:t>Ayuntamiento de Valle de Chalco Solidaridad</w:t>
      </w:r>
      <w:r w:rsidR="008B695D">
        <w:rPr>
          <w:rFonts w:ascii="Palatino Linotype" w:hAnsi="Palatino Linotype"/>
          <w:b/>
          <w:bCs/>
          <w:color w:val="000000"/>
          <w:sz w:val="24"/>
          <w:szCs w:val="24"/>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8B695D">
        <w:rPr>
          <w:rFonts w:ascii="Palatino Linotype" w:hAnsi="Palatino Linotype" w:cs="Arial"/>
          <w:b/>
          <w:bCs/>
          <w:sz w:val="23"/>
          <w:szCs w:val="23"/>
        </w:rPr>
        <w:t>3875</w:t>
      </w:r>
      <w:r w:rsidR="00EF3EA6" w:rsidRPr="006D3D71">
        <w:rPr>
          <w:rFonts w:ascii="Palatino Linotype" w:hAnsi="Palatino Linotype" w:cs="Arial"/>
          <w:b/>
          <w:bCs/>
          <w:sz w:val="23"/>
          <w:szCs w:val="23"/>
        </w:rPr>
        <w:t>/INFOEM/IP/RR/2018</w:t>
      </w:r>
      <w:r w:rsidR="00F776CD">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8B695D">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32224024"/>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C253D" w:rsidRPr="005C253D">
        <w:rPr>
          <w:rFonts w:ascii="Palatino Linotype" w:eastAsia="Calibri" w:hAnsi="Palatino Linotype" w:cs="Arial"/>
          <w:sz w:val="24"/>
          <w:szCs w:val="24"/>
        </w:rPr>
        <w:t xml:space="preserve"> </w:t>
      </w:r>
      <w:r w:rsidR="00422BF0">
        <w:rPr>
          <w:rFonts w:ascii="Palatino Linotype" w:eastAsia="Calibri" w:hAnsi="Palatino Linotype" w:cs="Arial"/>
          <w:sz w:val="24"/>
          <w:szCs w:val="24"/>
        </w:rPr>
        <w:t>e</w:t>
      </w:r>
      <w:r w:rsidR="00691120">
        <w:rPr>
          <w:rFonts w:ascii="Palatino Linotype" w:eastAsia="Calibri" w:hAnsi="Palatino Linotype" w:cs="Arial"/>
          <w:sz w:val="24"/>
          <w:szCs w:val="24"/>
        </w:rPr>
        <w:t>l</w:t>
      </w:r>
      <w:r w:rsidR="008B695D" w:rsidRPr="008B695D">
        <w:rPr>
          <w:rFonts w:ascii="Palatino Linotype" w:hAnsi="Palatino Linotype"/>
          <w:b/>
          <w:bCs/>
          <w:color w:val="000000"/>
          <w:sz w:val="24"/>
          <w:szCs w:val="24"/>
        </w:rPr>
        <w:t xml:space="preserve"> </w:t>
      </w:r>
      <w:r w:rsidR="008B695D" w:rsidRPr="00BD5F21">
        <w:rPr>
          <w:rFonts w:ascii="Palatino Linotype" w:hAnsi="Palatino Linotype"/>
          <w:b/>
          <w:bCs/>
          <w:color w:val="000000"/>
          <w:sz w:val="24"/>
          <w:szCs w:val="24"/>
        </w:rPr>
        <w:t>Ayuntamiento de Valle de Chalco Solidaridad</w:t>
      </w:r>
      <w:r w:rsidR="003B6B7C">
        <w:rPr>
          <w:rFonts w:ascii="Palatino Linotype" w:hAnsi="Palatino Linotype" w:cs="Arial"/>
          <w:b/>
          <w:sz w:val="24"/>
          <w:szCs w:val="24"/>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8B695D" w:rsidRPr="00BD5F21" w:rsidRDefault="008B695D" w:rsidP="008B695D">
      <w:pPr>
        <w:spacing w:after="0" w:line="240" w:lineRule="auto"/>
        <w:ind w:left="567" w:right="616"/>
        <w:jc w:val="both"/>
        <w:rPr>
          <w:rFonts w:ascii="Palatino Linotype" w:hAnsi="Palatino Linotype"/>
          <w:i/>
          <w:color w:val="000000"/>
          <w:sz w:val="24"/>
          <w:szCs w:val="24"/>
        </w:rPr>
      </w:pPr>
      <w:r w:rsidRPr="00BD5F21">
        <w:rPr>
          <w:rFonts w:ascii="Palatino Linotype" w:hAnsi="Palatino Linotype" w:cs="Arial"/>
          <w:i/>
          <w:sz w:val="24"/>
          <w:szCs w:val="24"/>
        </w:rPr>
        <w:lastRenderedPageBreak/>
        <w:t>“</w:t>
      </w:r>
      <w:r w:rsidRPr="00BD5F21">
        <w:rPr>
          <w:rFonts w:ascii="Palatino Linotype" w:hAnsi="Palatino Linotype"/>
          <w:i/>
          <w:color w:val="000000"/>
          <w:sz w:val="24"/>
          <w:szCs w:val="24"/>
        </w:rPr>
        <w:t xml:space="preserve">solicito organigrama funcional de cada uno de los departamento que integra </w:t>
      </w:r>
      <w:proofErr w:type="spellStart"/>
      <w:r w:rsidRPr="00BD5F21">
        <w:rPr>
          <w:rFonts w:ascii="Palatino Linotype" w:hAnsi="Palatino Linotype"/>
          <w:i/>
          <w:color w:val="000000"/>
          <w:sz w:val="24"/>
          <w:szCs w:val="24"/>
        </w:rPr>
        <w:t>e</w:t>
      </w:r>
      <w:proofErr w:type="spellEnd"/>
      <w:r w:rsidRPr="00BD5F21">
        <w:rPr>
          <w:rFonts w:ascii="Palatino Linotype" w:hAnsi="Palatino Linotype"/>
          <w:i/>
          <w:color w:val="000000"/>
          <w:sz w:val="24"/>
          <w:szCs w:val="24"/>
        </w:rPr>
        <w:t xml:space="preserve"> la </w:t>
      </w:r>
      <w:proofErr w:type="spellStart"/>
      <w:r w:rsidRPr="00BD5F21">
        <w:rPr>
          <w:rFonts w:ascii="Palatino Linotype" w:hAnsi="Palatino Linotype"/>
          <w:i/>
          <w:color w:val="000000"/>
          <w:sz w:val="24"/>
          <w:szCs w:val="24"/>
        </w:rPr>
        <w:t>direccion</w:t>
      </w:r>
      <w:proofErr w:type="spellEnd"/>
      <w:r w:rsidRPr="00BD5F21">
        <w:rPr>
          <w:rFonts w:ascii="Palatino Linotype" w:hAnsi="Palatino Linotype"/>
          <w:i/>
          <w:color w:val="000000"/>
          <w:sz w:val="24"/>
          <w:szCs w:val="24"/>
        </w:rPr>
        <w:t xml:space="preserve"> de servicios públicos así como la </w:t>
      </w:r>
      <w:proofErr w:type="spellStart"/>
      <w:r w:rsidRPr="00BD5F21">
        <w:rPr>
          <w:rFonts w:ascii="Palatino Linotype" w:hAnsi="Palatino Linotype"/>
          <w:i/>
          <w:color w:val="000000"/>
          <w:sz w:val="24"/>
          <w:szCs w:val="24"/>
        </w:rPr>
        <w:t>nomina</w:t>
      </w:r>
      <w:proofErr w:type="spellEnd"/>
      <w:r w:rsidRPr="00BD5F21">
        <w:rPr>
          <w:rFonts w:ascii="Palatino Linotype" w:hAnsi="Palatino Linotype"/>
          <w:i/>
          <w:color w:val="000000"/>
          <w:sz w:val="24"/>
          <w:szCs w:val="24"/>
        </w:rPr>
        <w:t xml:space="preserve"> de el mismo nomina administrativa sindical lista de raya y honorarios”</w:t>
      </w:r>
    </w:p>
    <w:p w:rsidR="00422BF0" w:rsidRDefault="00422BF0" w:rsidP="00930786">
      <w:pPr>
        <w:spacing w:line="360" w:lineRule="auto"/>
        <w:ind w:left="851" w:right="850"/>
        <w:jc w:val="both"/>
        <w:rPr>
          <w:rFonts w:ascii="Palatino Linotype" w:eastAsia="Times New Roman" w:hAnsi="Palatino Linotype" w:cs="Times New Roman"/>
          <w:i/>
          <w:lang w:val="es-ES_tradnl" w:eastAsia="es-ES"/>
        </w:rPr>
      </w:pPr>
    </w:p>
    <w:p w:rsidR="000E4D6E" w:rsidRPr="00B821C2" w:rsidRDefault="00E6179D" w:rsidP="00CE10B7">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B821C2">
        <w:rPr>
          <w:rFonts w:ascii="Palatino Linotype" w:eastAsia="Calibri" w:hAnsi="Palatino Linotype" w:cs="Arial"/>
          <w:sz w:val="24"/>
          <w:szCs w:val="24"/>
        </w:rPr>
        <w:t xml:space="preserve">Bajo esas consideraciones la Ponencia </w:t>
      </w:r>
      <w:r w:rsidR="00FD1FAD" w:rsidRPr="00B821C2">
        <w:rPr>
          <w:rFonts w:ascii="Palatino Linotype" w:eastAsia="Calibri" w:hAnsi="Palatino Linotype" w:cs="Arial"/>
          <w:sz w:val="24"/>
          <w:szCs w:val="24"/>
        </w:rPr>
        <w:t>que resuelve el recurso de revisión</w:t>
      </w:r>
      <w:r w:rsidRPr="00B821C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821C2">
        <w:rPr>
          <w:rFonts w:ascii="Palatino Linotype" w:eastAsia="Calibri" w:hAnsi="Palatino Linotype" w:cs="Arial"/>
          <w:sz w:val="24"/>
          <w:szCs w:val="24"/>
        </w:rPr>
        <w:t>verificar si existe fu</w:t>
      </w:r>
      <w:r w:rsidR="003E0648" w:rsidRPr="00B821C2">
        <w:rPr>
          <w:rFonts w:ascii="Palatino Linotype" w:eastAsia="Calibri" w:hAnsi="Palatino Linotype" w:cs="Arial"/>
          <w:sz w:val="24"/>
          <w:szCs w:val="24"/>
        </w:rPr>
        <w:t xml:space="preserve">ente obligacional por parte </w:t>
      </w:r>
      <w:r w:rsidR="00422BF0" w:rsidRPr="00B821C2">
        <w:rPr>
          <w:rFonts w:ascii="Palatino Linotype" w:eastAsia="Calibri" w:hAnsi="Palatino Linotype" w:cs="Arial"/>
          <w:sz w:val="24"/>
          <w:szCs w:val="24"/>
        </w:rPr>
        <w:t>de</w:t>
      </w:r>
      <w:r w:rsidR="00422BF0">
        <w:rPr>
          <w:rFonts w:ascii="Palatino Linotype" w:eastAsia="Calibri" w:hAnsi="Palatino Linotype" w:cs="Arial"/>
          <w:sz w:val="24"/>
          <w:szCs w:val="24"/>
        </w:rPr>
        <w:t>l</w:t>
      </w:r>
      <w:r w:rsidR="008B695D" w:rsidRPr="008B695D">
        <w:rPr>
          <w:rFonts w:ascii="Palatino Linotype" w:hAnsi="Palatino Linotype"/>
          <w:b/>
          <w:bCs/>
          <w:color w:val="000000"/>
          <w:sz w:val="24"/>
          <w:szCs w:val="24"/>
        </w:rPr>
        <w:t xml:space="preserve"> </w:t>
      </w:r>
      <w:r w:rsidR="008B695D" w:rsidRPr="00BD5F21">
        <w:rPr>
          <w:rFonts w:ascii="Palatino Linotype" w:hAnsi="Palatino Linotype"/>
          <w:b/>
          <w:bCs/>
          <w:color w:val="000000"/>
          <w:sz w:val="24"/>
          <w:szCs w:val="24"/>
        </w:rPr>
        <w:t>Ayuntamiento de Valle de Chalco Solidaridad</w:t>
      </w:r>
      <w:r w:rsidR="00422BF0" w:rsidRPr="00422BF0">
        <w:rPr>
          <w:rFonts w:ascii="Palatino Linotype" w:eastAsia="Calibri" w:hAnsi="Palatino Linotype" w:cs="Arial"/>
          <w:b/>
          <w:sz w:val="24"/>
          <w:szCs w:val="24"/>
        </w:rPr>
        <w:t>,</w:t>
      </w:r>
      <w:r w:rsidR="00422BF0">
        <w:rPr>
          <w:rFonts w:ascii="Palatino Linotype" w:eastAsia="Calibri" w:hAnsi="Palatino Linotype" w:cs="Arial"/>
          <w:sz w:val="24"/>
          <w:szCs w:val="24"/>
        </w:rPr>
        <w:t xml:space="preserve"> </w:t>
      </w:r>
      <w:r w:rsidR="00C752C4" w:rsidRPr="00B821C2">
        <w:rPr>
          <w:rFonts w:ascii="Palatino Linotype" w:eastAsiaTheme="minorEastAsia" w:hAnsi="Palatino Linotype" w:cs="Arial"/>
          <w:b/>
        </w:rPr>
        <w:t xml:space="preserve"> </w:t>
      </w:r>
      <w:r w:rsidR="00FD1FAD" w:rsidRPr="00B821C2">
        <w:rPr>
          <w:rFonts w:ascii="Palatino Linotype" w:eastAsia="Calibri" w:hAnsi="Palatino Linotype" w:cs="Arial"/>
          <w:sz w:val="24"/>
          <w:szCs w:val="24"/>
        </w:rPr>
        <w:t xml:space="preserve">y así ordenar que se realice una búsqueda exhaustiva en los archivos </w:t>
      </w:r>
      <w:r w:rsidR="00B16CE1" w:rsidRPr="00B821C2">
        <w:rPr>
          <w:rFonts w:ascii="Palatino Linotype" w:eastAsia="Calibri" w:hAnsi="Palatino Linotype" w:cs="Arial"/>
          <w:sz w:val="24"/>
          <w:szCs w:val="24"/>
        </w:rPr>
        <w:t xml:space="preserve">del </w:t>
      </w:r>
      <w:r w:rsidR="00FD1FAD" w:rsidRPr="00B821C2">
        <w:rPr>
          <w:rFonts w:ascii="Palatino Linotype" w:eastAsia="Calibri" w:hAnsi="Palatino Linotype" w:cs="Arial"/>
          <w:b/>
          <w:sz w:val="24"/>
          <w:szCs w:val="24"/>
        </w:rPr>
        <w:t>SUJETO OBLIGADO</w:t>
      </w:r>
      <w:r w:rsidR="0006430D" w:rsidRPr="00B821C2">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B821C2" w:rsidRPr="00031184" w:rsidRDefault="00480F5B" w:rsidP="00B821C2">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B695D">
        <w:rPr>
          <w:rFonts w:ascii="Palatino Linotype" w:hAnsi="Palatino Linotype" w:cs="Arial"/>
          <w:b/>
          <w:sz w:val="24"/>
          <w:szCs w:val="24"/>
        </w:rPr>
        <w:t xml:space="preserve"> al </w:t>
      </w:r>
      <w:r w:rsidR="008B695D" w:rsidRPr="008B695D">
        <w:rPr>
          <w:rFonts w:ascii="Palatino Linotype" w:hAnsi="Palatino Linotype"/>
          <w:b/>
          <w:bCs/>
          <w:color w:val="000000"/>
          <w:sz w:val="24"/>
          <w:szCs w:val="24"/>
        </w:rPr>
        <w:t xml:space="preserve"> </w:t>
      </w:r>
      <w:r w:rsidR="008B695D" w:rsidRPr="00BD5F21">
        <w:rPr>
          <w:rFonts w:ascii="Palatino Linotype" w:hAnsi="Palatino Linotype"/>
          <w:b/>
          <w:bCs/>
          <w:color w:val="000000"/>
          <w:sz w:val="24"/>
          <w:szCs w:val="24"/>
        </w:rPr>
        <w:t>Ayuntamiento de Valle de Chalco Solidaridad</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031184" w:rsidRPr="00031184" w:rsidRDefault="00031184" w:rsidP="00031184">
      <w:pPr>
        <w:pStyle w:val="Prrafodelista"/>
        <w:rPr>
          <w:rFonts w:ascii="Palatino Linotype" w:hAnsi="Palatino Linotype"/>
          <w:sz w:val="24"/>
          <w:szCs w:val="24"/>
        </w:rPr>
      </w:pPr>
    </w:p>
    <w:p w:rsidR="008B695D" w:rsidRPr="008B695D" w:rsidRDefault="008B695D" w:rsidP="008B695D">
      <w:pPr>
        <w:numPr>
          <w:ilvl w:val="0"/>
          <w:numId w:val="32"/>
        </w:numPr>
        <w:autoSpaceDE w:val="0"/>
        <w:autoSpaceDN w:val="0"/>
        <w:adjustRightInd w:val="0"/>
        <w:spacing w:after="0" w:line="240" w:lineRule="auto"/>
        <w:ind w:left="1134" w:right="616" w:hanging="567"/>
        <w:jc w:val="both"/>
        <w:rPr>
          <w:rFonts w:ascii="Palatino Linotype" w:eastAsia="Times New Roman" w:hAnsi="Palatino Linotype" w:cs="Arial"/>
          <w:i/>
          <w:sz w:val="24"/>
          <w:szCs w:val="24"/>
          <w:lang w:val="es-ES" w:eastAsia="es-ES"/>
        </w:rPr>
      </w:pPr>
      <w:r w:rsidRPr="008B695D">
        <w:rPr>
          <w:rFonts w:ascii="Palatino Linotype" w:eastAsia="Times New Roman" w:hAnsi="Palatino Linotype" w:cs="Arial"/>
          <w:i/>
          <w:sz w:val="24"/>
          <w:szCs w:val="24"/>
          <w:lang w:val="es-ES" w:eastAsia="es-ES"/>
        </w:rPr>
        <w:t>Organigrama funcional actualizado al veinte de agosto de dos mil dieciocho.</w:t>
      </w:r>
    </w:p>
    <w:p w:rsidR="008B695D" w:rsidRPr="008B695D" w:rsidRDefault="008B695D" w:rsidP="008B695D">
      <w:pPr>
        <w:autoSpaceDE w:val="0"/>
        <w:autoSpaceDN w:val="0"/>
        <w:adjustRightInd w:val="0"/>
        <w:spacing w:after="0" w:line="240" w:lineRule="auto"/>
        <w:ind w:left="1134" w:right="616"/>
        <w:jc w:val="both"/>
        <w:rPr>
          <w:rFonts w:ascii="Palatino Linotype" w:eastAsia="Times New Roman" w:hAnsi="Palatino Linotype" w:cs="Arial"/>
          <w:i/>
          <w:sz w:val="24"/>
          <w:szCs w:val="24"/>
          <w:lang w:val="es-ES" w:eastAsia="es-ES"/>
        </w:rPr>
      </w:pPr>
    </w:p>
    <w:p w:rsidR="008B695D" w:rsidRPr="008B695D" w:rsidRDefault="008B695D" w:rsidP="008B695D">
      <w:pPr>
        <w:numPr>
          <w:ilvl w:val="0"/>
          <w:numId w:val="32"/>
        </w:numPr>
        <w:autoSpaceDE w:val="0"/>
        <w:autoSpaceDN w:val="0"/>
        <w:adjustRightInd w:val="0"/>
        <w:spacing w:after="0" w:line="240" w:lineRule="auto"/>
        <w:ind w:left="1134" w:right="616" w:hanging="567"/>
        <w:jc w:val="both"/>
        <w:rPr>
          <w:rFonts w:ascii="Palatino Linotype" w:eastAsia="Times New Roman" w:hAnsi="Palatino Linotype" w:cs="Arial"/>
          <w:i/>
          <w:sz w:val="24"/>
          <w:szCs w:val="24"/>
          <w:lang w:val="es-ES" w:eastAsia="es-ES"/>
        </w:rPr>
      </w:pPr>
      <w:r w:rsidRPr="008B695D">
        <w:rPr>
          <w:rFonts w:ascii="Palatino Linotype" w:eastAsia="Times New Roman" w:hAnsi="Palatino Linotype" w:cs="Arial"/>
          <w:i/>
          <w:sz w:val="24"/>
          <w:szCs w:val="24"/>
          <w:lang w:val="es-ES" w:eastAsia="es-ES"/>
        </w:rPr>
        <w:t>Nómina del personal administrativo y sindical, de la primera y segunda quincena de julio y la primera quincena de agosto de dos mil dieciocho.</w:t>
      </w:r>
    </w:p>
    <w:p w:rsidR="008B695D" w:rsidRPr="008B695D" w:rsidRDefault="008B695D" w:rsidP="008B695D">
      <w:pPr>
        <w:spacing w:after="0" w:line="240" w:lineRule="auto"/>
        <w:ind w:left="708"/>
        <w:rPr>
          <w:rFonts w:ascii="Palatino Linotype" w:eastAsia="Times New Roman" w:hAnsi="Palatino Linotype" w:cs="Arial"/>
          <w:i/>
          <w:sz w:val="24"/>
          <w:szCs w:val="24"/>
          <w:lang w:val="es-ES" w:eastAsia="es-ES"/>
        </w:rPr>
      </w:pPr>
    </w:p>
    <w:p w:rsidR="008B695D" w:rsidRPr="008B695D" w:rsidRDefault="008B695D" w:rsidP="008B695D">
      <w:pPr>
        <w:numPr>
          <w:ilvl w:val="0"/>
          <w:numId w:val="32"/>
        </w:numPr>
        <w:autoSpaceDE w:val="0"/>
        <w:autoSpaceDN w:val="0"/>
        <w:adjustRightInd w:val="0"/>
        <w:spacing w:after="0" w:line="240" w:lineRule="auto"/>
        <w:ind w:left="1134" w:right="616" w:hanging="567"/>
        <w:jc w:val="both"/>
        <w:rPr>
          <w:rFonts w:ascii="Palatino Linotype" w:eastAsia="Times New Roman" w:hAnsi="Palatino Linotype" w:cs="Arial"/>
          <w:i/>
          <w:sz w:val="24"/>
          <w:szCs w:val="24"/>
          <w:lang w:val="es-ES" w:eastAsia="es-ES"/>
        </w:rPr>
      </w:pPr>
      <w:r w:rsidRPr="008B695D">
        <w:rPr>
          <w:rFonts w:ascii="Palatino Linotype" w:eastAsia="Times New Roman" w:hAnsi="Palatino Linotype" w:cs="Arial"/>
          <w:i/>
          <w:sz w:val="24"/>
          <w:szCs w:val="24"/>
          <w:lang w:val="es-ES" w:eastAsia="es-ES"/>
        </w:rPr>
        <w:t>Las percepciones del personal de lista de raya de la primera y segunda quincena de julio y la primera quincena de agosto de dos mil dieciocho.</w:t>
      </w:r>
    </w:p>
    <w:p w:rsidR="008B695D" w:rsidRPr="008B695D" w:rsidRDefault="008B695D" w:rsidP="008B695D">
      <w:pPr>
        <w:spacing w:after="0" w:line="240" w:lineRule="auto"/>
        <w:ind w:left="708"/>
        <w:rPr>
          <w:rFonts w:ascii="Palatino Linotype" w:eastAsia="Times New Roman" w:hAnsi="Palatino Linotype" w:cs="Arial"/>
          <w:i/>
          <w:sz w:val="24"/>
          <w:szCs w:val="24"/>
          <w:lang w:val="es-ES" w:eastAsia="es-ES"/>
        </w:rPr>
      </w:pPr>
    </w:p>
    <w:p w:rsidR="008B695D" w:rsidRPr="008B695D" w:rsidRDefault="008B695D" w:rsidP="008B695D">
      <w:pPr>
        <w:numPr>
          <w:ilvl w:val="0"/>
          <w:numId w:val="32"/>
        </w:numPr>
        <w:autoSpaceDE w:val="0"/>
        <w:autoSpaceDN w:val="0"/>
        <w:adjustRightInd w:val="0"/>
        <w:spacing w:after="0" w:line="240" w:lineRule="auto"/>
        <w:ind w:left="1134" w:right="616" w:hanging="567"/>
        <w:jc w:val="both"/>
        <w:rPr>
          <w:rFonts w:ascii="Palatino Linotype" w:eastAsia="Times New Roman" w:hAnsi="Palatino Linotype" w:cs="Arial"/>
          <w:i/>
          <w:sz w:val="24"/>
          <w:szCs w:val="24"/>
          <w:lang w:val="es-ES" w:eastAsia="es-ES"/>
        </w:rPr>
      </w:pPr>
      <w:r w:rsidRPr="008B695D">
        <w:rPr>
          <w:rFonts w:ascii="Palatino Linotype" w:eastAsia="Times New Roman" w:hAnsi="Palatino Linotype" w:cs="Arial"/>
          <w:i/>
          <w:sz w:val="24"/>
          <w:szCs w:val="24"/>
          <w:lang w:val="es-ES" w:eastAsia="es-ES"/>
        </w:rPr>
        <w:lastRenderedPageBreak/>
        <w:t xml:space="preserve">Comprobantes </w:t>
      </w:r>
      <w:r w:rsidRPr="008B695D">
        <w:rPr>
          <w:rFonts w:ascii="Palatino Linotype" w:eastAsia="Times New Roman" w:hAnsi="Palatino Linotype" w:cs="Times New Roman"/>
          <w:i/>
          <w:sz w:val="24"/>
          <w:szCs w:val="24"/>
          <w:lang w:val="es-ES" w:eastAsia="es-ES"/>
        </w:rPr>
        <w:t>Digitales Fiscales por Internet por concepto de honorarios, d</w:t>
      </w:r>
      <w:r w:rsidRPr="008B695D">
        <w:rPr>
          <w:rFonts w:ascii="Palatino Linotype" w:eastAsia="Times New Roman" w:hAnsi="Palatino Linotype" w:cs="Arial"/>
          <w:i/>
          <w:sz w:val="24"/>
          <w:szCs w:val="24"/>
          <w:lang w:val="es-ES" w:eastAsia="es-ES"/>
        </w:rPr>
        <w:t>e la primera y segunda quincena de julio y la primera quincena de agosto de dos mi dieciocho</w:t>
      </w:r>
    </w:p>
    <w:p w:rsidR="008B695D" w:rsidRPr="008B695D" w:rsidRDefault="008B695D" w:rsidP="008B695D">
      <w:pPr>
        <w:autoSpaceDE w:val="0"/>
        <w:autoSpaceDN w:val="0"/>
        <w:adjustRightInd w:val="0"/>
        <w:spacing w:after="0" w:line="360" w:lineRule="auto"/>
        <w:ind w:left="851"/>
        <w:jc w:val="both"/>
        <w:rPr>
          <w:rFonts w:ascii="Palatino Linotype" w:eastAsia="Times New Roman" w:hAnsi="Palatino Linotype" w:cs="Arial"/>
          <w:i/>
          <w:sz w:val="24"/>
          <w:szCs w:val="24"/>
          <w:lang w:val="es-ES" w:eastAsia="es-ES"/>
        </w:rPr>
      </w:pPr>
    </w:p>
    <w:p w:rsidR="008B695D" w:rsidRPr="008B695D" w:rsidRDefault="008B695D" w:rsidP="008B695D">
      <w:pPr>
        <w:spacing w:line="360" w:lineRule="auto"/>
        <w:jc w:val="both"/>
        <w:rPr>
          <w:rFonts w:ascii="Palatino Linotype" w:hAnsi="Palatino Linotype"/>
          <w:sz w:val="24"/>
          <w:szCs w:val="24"/>
        </w:rPr>
      </w:pPr>
      <w:r w:rsidRPr="008B695D">
        <w:rPr>
          <w:rFonts w:ascii="Palatino Linotype" w:hAnsi="Palatino Linotype"/>
          <w:sz w:val="24"/>
          <w:szCs w:val="24"/>
        </w:rPr>
        <w:t>Debiendo adjuntar el acuerdo de clasificación que respalde en su caso, la versión pública de la documentación que entregue el sujeto obligado para dar cumplimiento a la presente resolución, en términos de los artículos 49, fracción VIII, 132, fracción II de la Ley de Transparencia y Acceso a la Información Pública del Estado de México y Municipios y demás normatividades aplicables.</w:t>
      </w:r>
    </w:p>
    <w:p w:rsidR="008B695D" w:rsidRPr="008B695D" w:rsidRDefault="008B695D" w:rsidP="008B695D">
      <w:pPr>
        <w:autoSpaceDE w:val="0"/>
        <w:autoSpaceDN w:val="0"/>
        <w:adjustRightInd w:val="0"/>
        <w:spacing w:after="0" w:line="360" w:lineRule="auto"/>
        <w:jc w:val="both"/>
        <w:rPr>
          <w:rFonts w:ascii="Palatino Linotype" w:hAnsi="Palatino Linotype" w:cs="Arial"/>
          <w:sz w:val="24"/>
          <w:szCs w:val="24"/>
        </w:rPr>
      </w:pPr>
    </w:p>
    <w:p w:rsidR="008B695D" w:rsidRPr="008B695D" w:rsidRDefault="008B695D" w:rsidP="008B695D">
      <w:pPr>
        <w:autoSpaceDE w:val="0"/>
        <w:autoSpaceDN w:val="0"/>
        <w:adjustRightInd w:val="0"/>
        <w:spacing w:after="0" w:line="360" w:lineRule="auto"/>
        <w:jc w:val="both"/>
        <w:rPr>
          <w:rFonts w:ascii="Palatino Linotype" w:hAnsi="Palatino Linotype" w:cs="Arial"/>
          <w:sz w:val="24"/>
          <w:szCs w:val="24"/>
        </w:rPr>
      </w:pPr>
      <w:r w:rsidRPr="008B695D">
        <w:rPr>
          <w:rFonts w:ascii="Palatino Linotype" w:hAnsi="Palatino Linotype" w:cs="Arial"/>
          <w:sz w:val="24"/>
          <w:szCs w:val="24"/>
        </w:rPr>
        <w:t>Respecto de los numerales 3 y 4  en caso de que el Sujeto Obligado no haya generado dicha información, bastara con que lo haga del conocimiento a la Recurrente al momento de dar cumplimiento a la presente resolución.</w:t>
      </w:r>
    </w:p>
    <w:p w:rsidR="00691120" w:rsidRPr="006D3CE1" w:rsidRDefault="00691120" w:rsidP="00691120">
      <w:pPr>
        <w:pStyle w:val="Prrafodelista"/>
        <w:spacing w:before="120" w:after="120" w:line="360" w:lineRule="auto"/>
        <w:ind w:left="0" w:right="49"/>
        <w:jc w:val="both"/>
        <w:rPr>
          <w:rFonts w:ascii="Palatino Linotype" w:hAnsi="Palatino Linotype"/>
          <w:sz w:val="24"/>
          <w:szCs w:val="24"/>
        </w:rPr>
      </w:pPr>
    </w:p>
    <w:p w:rsidR="005C253D" w:rsidRPr="00CD270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Sin embargo esta ponencia observó que la resolución puntualmente indica lo </w:t>
      </w:r>
      <w:r w:rsidRPr="002A071E">
        <w:rPr>
          <w:rFonts w:ascii="Palatino Linotype" w:eastAsia="Times New Roman" w:hAnsi="Palatino Linotype" w:cs="Arial"/>
          <w:sz w:val="24"/>
        </w:rPr>
        <w:t>siguiente</w:t>
      </w:r>
      <w:r w:rsidR="00434E1A" w:rsidRPr="002A071E">
        <w:rPr>
          <w:rFonts w:ascii="Palatino Linotype" w:eastAsia="Times New Roman" w:hAnsi="Palatino Linotype" w:cs="Arial"/>
          <w:sz w:val="24"/>
        </w:rPr>
        <w:t xml:space="preserve"> respecto </w:t>
      </w:r>
      <w:r w:rsidR="00F67DF2" w:rsidRPr="002A071E">
        <w:rPr>
          <w:rFonts w:ascii="Palatino Linotype" w:eastAsia="Times New Roman" w:hAnsi="Palatino Linotype" w:cs="Arial"/>
          <w:sz w:val="24"/>
        </w:rPr>
        <w:t xml:space="preserve"> </w:t>
      </w:r>
      <w:r w:rsidR="006E5F97">
        <w:rPr>
          <w:rFonts w:ascii="Palatino Linotype" w:eastAsia="Times New Roman" w:hAnsi="Palatino Linotype" w:cs="Arial"/>
          <w:sz w:val="24"/>
        </w:rPr>
        <w:t>a</w:t>
      </w:r>
      <w:r w:rsidR="008B695D">
        <w:rPr>
          <w:rFonts w:ascii="Palatino Linotype" w:eastAsia="Times New Roman" w:hAnsi="Palatino Linotype" w:cs="Arial"/>
          <w:sz w:val="24"/>
        </w:rPr>
        <w:t xml:space="preserve"> los  numerales 3) y 4)</w:t>
      </w:r>
      <w:r w:rsidR="002A071E" w:rsidRPr="002A071E">
        <w:rPr>
          <w:rFonts w:ascii="Palatino Linotype" w:eastAsia="Times New Roman" w:hAnsi="Palatino Linotype" w:cs="Arial"/>
          <w:sz w:val="24"/>
        </w:rPr>
        <w:t xml:space="preserve">: </w:t>
      </w:r>
    </w:p>
    <w:p w:rsidR="00CD270D" w:rsidRDefault="00CD270D" w:rsidP="00CD270D">
      <w:pPr>
        <w:pStyle w:val="Prrafodelista"/>
        <w:spacing w:before="240" w:after="240" w:line="360" w:lineRule="auto"/>
        <w:ind w:left="0" w:right="49"/>
        <w:jc w:val="both"/>
        <w:rPr>
          <w:rFonts w:ascii="Palatino Linotype" w:eastAsia="Times New Roman" w:hAnsi="Palatino Linotype" w:cs="Arial"/>
          <w:i/>
          <w:sz w:val="24"/>
        </w:rPr>
      </w:pPr>
    </w:p>
    <w:p w:rsidR="00422BF0" w:rsidRPr="008B695D" w:rsidRDefault="008B695D" w:rsidP="005C253D">
      <w:pPr>
        <w:pStyle w:val="Prrafodelista"/>
        <w:spacing w:before="240" w:after="240" w:line="360" w:lineRule="auto"/>
        <w:ind w:left="0" w:right="49"/>
        <w:jc w:val="both"/>
        <w:rPr>
          <w:rFonts w:ascii="Palatino Linotype" w:eastAsia="Times New Roman" w:hAnsi="Palatino Linotype" w:cs="Arial"/>
          <w:sz w:val="24"/>
        </w:rPr>
      </w:pPr>
      <w:r w:rsidRPr="008B695D">
        <w:rPr>
          <w:rFonts w:ascii="Palatino Linotype" w:eastAsia="Times New Roman" w:hAnsi="Palatino Linotype" w:cs="Arial"/>
          <w:sz w:val="24"/>
        </w:rPr>
        <w:t>Respecto de los numerales 3 y 4  en caso de que el Sujeto Obligado no haya generado dicha información, bastara con que lo haga del conocimiento a la Recurrente al momento de dar cumplimiento a la presente resolución.</w:t>
      </w:r>
    </w:p>
    <w:p w:rsidR="008B695D" w:rsidRDefault="008B695D" w:rsidP="005C253D">
      <w:pPr>
        <w:pStyle w:val="Prrafodelista"/>
        <w:spacing w:before="240" w:after="240" w:line="360" w:lineRule="auto"/>
        <w:ind w:left="0" w:right="49"/>
        <w:jc w:val="both"/>
        <w:rPr>
          <w:rFonts w:ascii="Palatino Linotype" w:eastAsia="Times New Roman" w:hAnsi="Palatino Linotype" w:cs="Arial"/>
          <w:i/>
          <w:sz w:val="24"/>
        </w:rPr>
      </w:pPr>
    </w:p>
    <w:p w:rsidR="00C602B8"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5C253D">
        <w:rPr>
          <w:rFonts w:ascii="Palatino Linotype" w:eastAsia="Times New Roman" w:hAnsi="Palatino Linotype" w:cs="Arial"/>
          <w:sz w:val="24"/>
        </w:rPr>
        <w:lastRenderedPageBreak/>
        <w:t xml:space="preserve">Por esa razón, el ponente se </w:t>
      </w:r>
      <w:r w:rsidR="00C602B8" w:rsidRPr="005C253D">
        <w:rPr>
          <w:rFonts w:ascii="Palatino Linotype" w:eastAsia="Times New Roman" w:hAnsi="Palatino Linotype" w:cs="Arial"/>
          <w:sz w:val="24"/>
        </w:rPr>
        <w:t>manifestó al</w:t>
      </w:r>
      <w:r w:rsidRPr="005C253D">
        <w:rPr>
          <w:rFonts w:ascii="Palatino Linotype" w:eastAsia="Times New Roman" w:hAnsi="Palatino Linotype" w:cs="Arial"/>
          <w:sz w:val="24"/>
        </w:rPr>
        <w:t xml:space="preserve"> respecto enfatizando que en </w:t>
      </w:r>
      <w:r w:rsidR="008216B4" w:rsidRPr="005C253D">
        <w:rPr>
          <w:rFonts w:ascii="Palatino Linotype" w:eastAsia="Times New Roman" w:hAnsi="Palatino Linotype" w:cs="Arial"/>
          <w:sz w:val="24"/>
        </w:rPr>
        <w:t xml:space="preserve">el caso de que el </w:t>
      </w:r>
      <w:r w:rsidR="008216B4" w:rsidRPr="005C253D">
        <w:rPr>
          <w:rFonts w:ascii="Palatino Linotype" w:eastAsia="Times New Roman" w:hAnsi="Palatino Linotype" w:cs="Arial"/>
          <w:b/>
          <w:sz w:val="24"/>
        </w:rPr>
        <w:t xml:space="preserve">SUJETO OBLIGADO </w:t>
      </w:r>
      <w:r w:rsidR="008216B4" w:rsidRPr="005C253D">
        <w:rPr>
          <w:rFonts w:ascii="Palatino Linotype" w:eastAsia="Times New Roman" w:hAnsi="Palatino Linotype" w:cs="Arial"/>
          <w:sz w:val="24"/>
        </w:rPr>
        <w:t>no cuente con la información</w:t>
      </w:r>
      <w:r w:rsidRPr="005C253D">
        <w:rPr>
          <w:rFonts w:ascii="Palatino Linotype" w:eastAsia="Times New Roman" w:hAnsi="Palatino Linotype" w:cs="Arial"/>
          <w:sz w:val="24"/>
        </w:rPr>
        <w:t>,</w:t>
      </w:r>
      <w:r w:rsidR="008216B4" w:rsidRPr="005C253D">
        <w:rPr>
          <w:rFonts w:ascii="Palatino Linotype" w:eastAsia="Times New Roman" w:hAnsi="Palatino Linotype" w:cs="Arial"/>
          <w:sz w:val="24"/>
        </w:rPr>
        <w:t xml:space="preserve"> bastará con que se pronuncie al respecto 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32224025"/>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32224026"/>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w:t>
      </w:r>
      <w:r w:rsidRPr="0083488C">
        <w:rPr>
          <w:rFonts w:ascii="Palatino Linotype" w:hAnsi="Palatino Linotype" w:cs="Times New Roman"/>
          <w:i/>
        </w:rPr>
        <w:lastRenderedPageBreak/>
        <w:t xml:space="preserve">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información, de manera que la autoridad no puede únicamente informar al </w:t>
      </w:r>
      <w:r w:rsidRPr="0083488C">
        <w:rPr>
          <w:rFonts w:ascii="Palatino Linotype" w:eastAsia="Calibri" w:hAnsi="Palatino Linotype" w:cs="Arial"/>
          <w:sz w:val="24"/>
          <w:szCs w:val="24"/>
        </w:rPr>
        <w:lastRenderedPageBreak/>
        <w:t>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483418" w:rsidRPr="00D10121"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10121">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83488C" w:rsidRDefault="00CD53CB" w:rsidP="00CD53CB">
      <w:pPr>
        <w:pStyle w:val="Ttulo1"/>
        <w:rPr>
          <w:rFonts w:eastAsia="Calibri"/>
          <w:szCs w:val="24"/>
        </w:rPr>
      </w:pPr>
      <w:bookmarkStart w:id="5" w:name="_Toc532224027"/>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w:t>
      </w:r>
      <w:r w:rsidRPr="00427B79">
        <w:rPr>
          <w:rFonts w:ascii="Palatino Linotype" w:eastAsia="Calibri" w:hAnsi="Palatino Linotype" w:cs="Arial"/>
          <w:sz w:val="24"/>
          <w:szCs w:val="24"/>
        </w:rPr>
        <w:lastRenderedPageBreak/>
        <w:t>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bookmarkStart w:id="6" w:name="_GoBack"/>
      <w:bookmarkEnd w:id="6"/>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8B4" w:rsidRDefault="00AE08B4" w:rsidP="00E82D3D">
      <w:pPr>
        <w:spacing w:after="0" w:line="240" w:lineRule="auto"/>
      </w:pPr>
      <w:r>
        <w:separator/>
      </w:r>
    </w:p>
  </w:endnote>
  <w:endnote w:type="continuationSeparator" w:id="0">
    <w:p w:rsidR="00AE08B4" w:rsidRDefault="00AE08B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668C1">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668C1">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8B4" w:rsidRDefault="00AE08B4" w:rsidP="00E82D3D">
      <w:pPr>
        <w:spacing w:after="0" w:line="240" w:lineRule="auto"/>
      </w:pPr>
      <w:r>
        <w:separator/>
      </w:r>
    </w:p>
  </w:footnote>
  <w:footnote w:type="continuationSeparator" w:id="0">
    <w:p w:rsidR="00AE08B4" w:rsidRDefault="00AE08B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668C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668C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668C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EC331A"/>
    <w:multiLevelType w:val="hybridMultilevel"/>
    <w:tmpl w:val="41CA2FA8"/>
    <w:lvl w:ilvl="0" w:tplc="9A5C2414">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6">
    <w:nsid w:val="128E0A53"/>
    <w:multiLevelType w:val="hybridMultilevel"/>
    <w:tmpl w:val="720E1662"/>
    <w:lvl w:ilvl="0" w:tplc="FE8845EE">
      <w:start w:val="1"/>
      <w:numFmt w:val="lowerRoman"/>
      <w:lvlText w:val="%1)"/>
      <w:lvlJc w:val="left"/>
      <w:pPr>
        <w:ind w:left="1068" w:hanging="360"/>
      </w:pPr>
      <w:rPr>
        <w:rFonts w:ascii="Palatino Linotype" w:eastAsia="Times New Roman" w:hAnsi="Palatino Linotype" w:cs="Times New Roman"/>
        <w:b/>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7">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23"/>
  </w:num>
  <w:num w:numId="3">
    <w:abstractNumId w:val="3"/>
  </w:num>
  <w:num w:numId="4">
    <w:abstractNumId w:val="28"/>
  </w:num>
  <w:num w:numId="5">
    <w:abstractNumId w:val="0"/>
  </w:num>
  <w:num w:numId="6">
    <w:abstractNumId w:val="1"/>
  </w:num>
  <w:num w:numId="7">
    <w:abstractNumId w:val="14"/>
  </w:num>
  <w:num w:numId="8">
    <w:abstractNumId w:val="17"/>
  </w:num>
  <w:num w:numId="9">
    <w:abstractNumId w:val="25"/>
  </w:num>
  <w:num w:numId="10">
    <w:abstractNumId w:val="16"/>
  </w:num>
  <w:num w:numId="11">
    <w:abstractNumId w:val="20"/>
  </w:num>
  <w:num w:numId="12">
    <w:abstractNumId w:val="9"/>
  </w:num>
  <w:num w:numId="13">
    <w:abstractNumId w:val="30"/>
  </w:num>
  <w:num w:numId="14">
    <w:abstractNumId w:val="29"/>
  </w:num>
  <w:num w:numId="15">
    <w:abstractNumId w:val="2"/>
  </w:num>
  <w:num w:numId="16">
    <w:abstractNumId w:val="13"/>
  </w:num>
  <w:num w:numId="17">
    <w:abstractNumId w:val="8"/>
  </w:num>
  <w:num w:numId="18">
    <w:abstractNumId w:val="11"/>
  </w:num>
  <w:num w:numId="19">
    <w:abstractNumId w:val="19"/>
  </w:num>
  <w:num w:numId="20">
    <w:abstractNumId w:val="7"/>
  </w:num>
  <w:num w:numId="21">
    <w:abstractNumId w:val="12"/>
  </w:num>
  <w:num w:numId="22">
    <w:abstractNumId w:val="26"/>
  </w:num>
  <w:num w:numId="23">
    <w:abstractNumId w:val="18"/>
  </w:num>
  <w:num w:numId="24">
    <w:abstractNumId w:val="4"/>
  </w:num>
  <w:num w:numId="25">
    <w:abstractNumId w:val="27"/>
  </w:num>
  <w:num w:numId="26">
    <w:abstractNumId w:val="21"/>
  </w:num>
  <w:num w:numId="27">
    <w:abstractNumId w:val="24"/>
  </w:num>
  <w:num w:numId="28">
    <w:abstractNumId w:val="15"/>
  </w:num>
  <w:num w:numId="29">
    <w:abstractNumId w:val="31"/>
  </w:num>
  <w:num w:numId="30">
    <w:abstractNumId w:val="10"/>
  </w:num>
  <w:num w:numId="31">
    <w:abstractNumId w:val="6"/>
  </w:num>
  <w:num w:numId="3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1184"/>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C74B6"/>
    <w:rsid w:val="000D2AD4"/>
    <w:rsid w:val="000D78CD"/>
    <w:rsid w:val="000E1ACA"/>
    <w:rsid w:val="000E4D6E"/>
    <w:rsid w:val="000E55E5"/>
    <w:rsid w:val="000E694F"/>
    <w:rsid w:val="000F0970"/>
    <w:rsid w:val="000F6EC0"/>
    <w:rsid w:val="00102360"/>
    <w:rsid w:val="00113C80"/>
    <w:rsid w:val="00113E8A"/>
    <w:rsid w:val="001240A5"/>
    <w:rsid w:val="00147D04"/>
    <w:rsid w:val="0016014E"/>
    <w:rsid w:val="001604B4"/>
    <w:rsid w:val="001708DF"/>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2730"/>
    <w:rsid w:val="00223548"/>
    <w:rsid w:val="00224B9E"/>
    <w:rsid w:val="00230205"/>
    <w:rsid w:val="00235438"/>
    <w:rsid w:val="00240141"/>
    <w:rsid w:val="00241D8A"/>
    <w:rsid w:val="00245E34"/>
    <w:rsid w:val="00252BB6"/>
    <w:rsid w:val="00256514"/>
    <w:rsid w:val="002573C4"/>
    <w:rsid w:val="002609E4"/>
    <w:rsid w:val="002643E6"/>
    <w:rsid w:val="00265FB2"/>
    <w:rsid w:val="00270126"/>
    <w:rsid w:val="00273862"/>
    <w:rsid w:val="002A071E"/>
    <w:rsid w:val="002A2E8D"/>
    <w:rsid w:val="002A3111"/>
    <w:rsid w:val="002B1EA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479"/>
    <w:rsid w:val="003A4962"/>
    <w:rsid w:val="003B6B7C"/>
    <w:rsid w:val="003C19DC"/>
    <w:rsid w:val="003C37C6"/>
    <w:rsid w:val="003C7F8A"/>
    <w:rsid w:val="003D41BA"/>
    <w:rsid w:val="003D7278"/>
    <w:rsid w:val="003E0648"/>
    <w:rsid w:val="003F0FAA"/>
    <w:rsid w:val="003F1617"/>
    <w:rsid w:val="00401477"/>
    <w:rsid w:val="00410B42"/>
    <w:rsid w:val="0041189B"/>
    <w:rsid w:val="00421B1A"/>
    <w:rsid w:val="00422BF0"/>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3DE1"/>
    <w:rsid w:val="004F4DA5"/>
    <w:rsid w:val="00501D40"/>
    <w:rsid w:val="00505D79"/>
    <w:rsid w:val="00510EE4"/>
    <w:rsid w:val="0051740A"/>
    <w:rsid w:val="00522308"/>
    <w:rsid w:val="0052306C"/>
    <w:rsid w:val="00535FDA"/>
    <w:rsid w:val="005441DE"/>
    <w:rsid w:val="005503D3"/>
    <w:rsid w:val="00554B28"/>
    <w:rsid w:val="005556CA"/>
    <w:rsid w:val="005565CE"/>
    <w:rsid w:val="005647B4"/>
    <w:rsid w:val="005650D9"/>
    <w:rsid w:val="00567957"/>
    <w:rsid w:val="005905A5"/>
    <w:rsid w:val="00590643"/>
    <w:rsid w:val="00590C2D"/>
    <w:rsid w:val="00590D95"/>
    <w:rsid w:val="00594E5C"/>
    <w:rsid w:val="005A2F43"/>
    <w:rsid w:val="005C0258"/>
    <w:rsid w:val="005C253D"/>
    <w:rsid w:val="005C5909"/>
    <w:rsid w:val="005D0118"/>
    <w:rsid w:val="005E5192"/>
    <w:rsid w:val="005F2240"/>
    <w:rsid w:val="005F30BC"/>
    <w:rsid w:val="005F3E96"/>
    <w:rsid w:val="006055D1"/>
    <w:rsid w:val="00611694"/>
    <w:rsid w:val="006117FC"/>
    <w:rsid w:val="0061188C"/>
    <w:rsid w:val="00617ACF"/>
    <w:rsid w:val="006262ED"/>
    <w:rsid w:val="006319DC"/>
    <w:rsid w:val="00645585"/>
    <w:rsid w:val="006562FF"/>
    <w:rsid w:val="00673029"/>
    <w:rsid w:val="00676187"/>
    <w:rsid w:val="00680533"/>
    <w:rsid w:val="006864CA"/>
    <w:rsid w:val="00691120"/>
    <w:rsid w:val="006937EC"/>
    <w:rsid w:val="006951FC"/>
    <w:rsid w:val="006A0BDD"/>
    <w:rsid w:val="006B39ED"/>
    <w:rsid w:val="006C5E0D"/>
    <w:rsid w:val="006D3C8A"/>
    <w:rsid w:val="006D3CE1"/>
    <w:rsid w:val="006E22C9"/>
    <w:rsid w:val="006E5F97"/>
    <w:rsid w:val="006F081D"/>
    <w:rsid w:val="006F0A01"/>
    <w:rsid w:val="00713CFD"/>
    <w:rsid w:val="00715A51"/>
    <w:rsid w:val="00720D2F"/>
    <w:rsid w:val="00723CDA"/>
    <w:rsid w:val="00730193"/>
    <w:rsid w:val="00733675"/>
    <w:rsid w:val="007349D6"/>
    <w:rsid w:val="00740A46"/>
    <w:rsid w:val="00740DA3"/>
    <w:rsid w:val="00744BA1"/>
    <w:rsid w:val="00744F8C"/>
    <w:rsid w:val="00761D8C"/>
    <w:rsid w:val="007626E7"/>
    <w:rsid w:val="00772781"/>
    <w:rsid w:val="00772B4B"/>
    <w:rsid w:val="00773AAF"/>
    <w:rsid w:val="007763E8"/>
    <w:rsid w:val="00780F47"/>
    <w:rsid w:val="00786073"/>
    <w:rsid w:val="00787B93"/>
    <w:rsid w:val="007958BB"/>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B415E"/>
    <w:rsid w:val="008B695D"/>
    <w:rsid w:val="008C025D"/>
    <w:rsid w:val="008C63A7"/>
    <w:rsid w:val="008D4328"/>
    <w:rsid w:val="008E733E"/>
    <w:rsid w:val="008E7A8C"/>
    <w:rsid w:val="008F212A"/>
    <w:rsid w:val="008F2800"/>
    <w:rsid w:val="0090262D"/>
    <w:rsid w:val="00906020"/>
    <w:rsid w:val="009143F1"/>
    <w:rsid w:val="00920E8D"/>
    <w:rsid w:val="00922197"/>
    <w:rsid w:val="0092423B"/>
    <w:rsid w:val="00930786"/>
    <w:rsid w:val="0093474A"/>
    <w:rsid w:val="00945937"/>
    <w:rsid w:val="00950BDB"/>
    <w:rsid w:val="00952EF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D7D32"/>
    <w:rsid w:val="009E0EE0"/>
    <w:rsid w:val="009F4960"/>
    <w:rsid w:val="009F52A2"/>
    <w:rsid w:val="009F6B96"/>
    <w:rsid w:val="009F7A37"/>
    <w:rsid w:val="009F7B67"/>
    <w:rsid w:val="00A02ED0"/>
    <w:rsid w:val="00A07D73"/>
    <w:rsid w:val="00A1541E"/>
    <w:rsid w:val="00A21BA7"/>
    <w:rsid w:val="00A22908"/>
    <w:rsid w:val="00A23B00"/>
    <w:rsid w:val="00A245A7"/>
    <w:rsid w:val="00A2672A"/>
    <w:rsid w:val="00A276D9"/>
    <w:rsid w:val="00A2786C"/>
    <w:rsid w:val="00A37A86"/>
    <w:rsid w:val="00A42F36"/>
    <w:rsid w:val="00A5179E"/>
    <w:rsid w:val="00A57FC6"/>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20DB"/>
    <w:rsid w:val="00B32C98"/>
    <w:rsid w:val="00B3675E"/>
    <w:rsid w:val="00B41044"/>
    <w:rsid w:val="00B516DB"/>
    <w:rsid w:val="00B52EEC"/>
    <w:rsid w:val="00B57FAA"/>
    <w:rsid w:val="00B64246"/>
    <w:rsid w:val="00B73B30"/>
    <w:rsid w:val="00B821C2"/>
    <w:rsid w:val="00B83FC5"/>
    <w:rsid w:val="00B847EF"/>
    <w:rsid w:val="00B84C49"/>
    <w:rsid w:val="00B91C16"/>
    <w:rsid w:val="00B9285A"/>
    <w:rsid w:val="00B97DB6"/>
    <w:rsid w:val="00BA5115"/>
    <w:rsid w:val="00BB27D3"/>
    <w:rsid w:val="00BB325C"/>
    <w:rsid w:val="00BB4414"/>
    <w:rsid w:val="00BB488C"/>
    <w:rsid w:val="00BB48A7"/>
    <w:rsid w:val="00BB6D90"/>
    <w:rsid w:val="00BC31E0"/>
    <w:rsid w:val="00BD16B5"/>
    <w:rsid w:val="00BD2985"/>
    <w:rsid w:val="00BF70DB"/>
    <w:rsid w:val="00C02557"/>
    <w:rsid w:val="00C0383A"/>
    <w:rsid w:val="00C076A9"/>
    <w:rsid w:val="00C1158A"/>
    <w:rsid w:val="00C12852"/>
    <w:rsid w:val="00C130B3"/>
    <w:rsid w:val="00C20869"/>
    <w:rsid w:val="00C333E3"/>
    <w:rsid w:val="00C43E73"/>
    <w:rsid w:val="00C4764C"/>
    <w:rsid w:val="00C544E1"/>
    <w:rsid w:val="00C547F0"/>
    <w:rsid w:val="00C602B8"/>
    <w:rsid w:val="00C6233A"/>
    <w:rsid w:val="00C66C13"/>
    <w:rsid w:val="00C73E2A"/>
    <w:rsid w:val="00C752C4"/>
    <w:rsid w:val="00C753D8"/>
    <w:rsid w:val="00C9078E"/>
    <w:rsid w:val="00C93875"/>
    <w:rsid w:val="00CA2B8E"/>
    <w:rsid w:val="00CA6667"/>
    <w:rsid w:val="00CB2472"/>
    <w:rsid w:val="00CB26E2"/>
    <w:rsid w:val="00CB2E4E"/>
    <w:rsid w:val="00CC3ACF"/>
    <w:rsid w:val="00CC7CC1"/>
    <w:rsid w:val="00CD270D"/>
    <w:rsid w:val="00CD53CB"/>
    <w:rsid w:val="00CD6AB1"/>
    <w:rsid w:val="00CD6EAF"/>
    <w:rsid w:val="00CE10B7"/>
    <w:rsid w:val="00CE55B7"/>
    <w:rsid w:val="00CF0462"/>
    <w:rsid w:val="00CF1560"/>
    <w:rsid w:val="00CF242A"/>
    <w:rsid w:val="00CF3D2E"/>
    <w:rsid w:val="00D0055C"/>
    <w:rsid w:val="00D05844"/>
    <w:rsid w:val="00D061BB"/>
    <w:rsid w:val="00D10121"/>
    <w:rsid w:val="00D152FB"/>
    <w:rsid w:val="00D207EA"/>
    <w:rsid w:val="00D2727B"/>
    <w:rsid w:val="00D31010"/>
    <w:rsid w:val="00D35B4C"/>
    <w:rsid w:val="00D36317"/>
    <w:rsid w:val="00D40E34"/>
    <w:rsid w:val="00D51491"/>
    <w:rsid w:val="00D549C7"/>
    <w:rsid w:val="00D92BA5"/>
    <w:rsid w:val="00DA127D"/>
    <w:rsid w:val="00DA5A47"/>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3228"/>
    <w:rsid w:val="00E3588D"/>
    <w:rsid w:val="00E41E1B"/>
    <w:rsid w:val="00E450E5"/>
    <w:rsid w:val="00E51DF4"/>
    <w:rsid w:val="00E535E4"/>
    <w:rsid w:val="00E61519"/>
    <w:rsid w:val="00E6179D"/>
    <w:rsid w:val="00E668C1"/>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67DF2"/>
    <w:rsid w:val="00F72355"/>
    <w:rsid w:val="00F776CD"/>
    <w:rsid w:val="00F8373B"/>
    <w:rsid w:val="00FA6405"/>
    <w:rsid w:val="00FA79CE"/>
    <w:rsid w:val="00FB274F"/>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2D469-2EA6-46EA-B804-6FFD65AF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18</Pages>
  <Words>3610</Words>
  <Characters>19857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62</cp:revision>
  <cp:lastPrinted>2018-09-03T16:21:00Z</cp:lastPrinted>
  <dcterms:created xsi:type="dcterms:W3CDTF">2018-10-22T18:42:00Z</dcterms:created>
  <dcterms:modified xsi:type="dcterms:W3CDTF">2019-01-30T00:05:00Z</dcterms:modified>
</cp:coreProperties>
</file>